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HARASSMENT &amp; VIOLENCE PREVENTION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this policy also outlines the process for complaints and investigations. Should [Organization Name] become aware of an occurrence of harassment or violence in the workplace, an investigation will follow.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 per the </w:t>
      </w:r>
      <w:r w:rsidDel="00000000" w:rsidR="00000000" w:rsidRPr="00000000">
        <w:rPr>
          <w:rFonts w:ascii="Calibri" w:cs="Calibri" w:eastAsia="Calibri" w:hAnsi="Calibri"/>
          <w:i w:val="1"/>
          <w:color w:val="000000"/>
          <w:highlight w:val="white"/>
          <w:rtl w:val="0"/>
        </w:rPr>
        <w:t xml:space="preserve">Canada Labour Code</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color w:val="000000"/>
          <w:rtl w:val="0"/>
        </w:rPr>
        <w:t xml:space="preserve">CLC), harassment and violence mean “any action, conduct or comment, including of a sexual nature, that can be reasonably expected to cause offence, humiliation or other physical or psychological injury or illness to an employee, including any prescribed action, conduct or comment.”</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This definition includes all types of harassment and violence, including sexual harassment, sexual violence, and domestic violence. </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is committed to ensuring a safe working environment, specifically one that is free from violence and harassment. In order to ensure employee safety, this policy will outline the following:</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Consultation with the Health and Safety Representative </w:t>
      </w:r>
      <w:r w:rsidDel="00000000" w:rsidR="00000000" w:rsidRPr="00000000">
        <w:rPr>
          <w:rtl w:val="0"/>
        </w:rPr>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[Organization Name]’s commitment to preventing harassment and violence</w:t>
      </w:r>
      <w:r w:rsidDel="00000000" w:rsidR="00000000" w:rsidRPr="00000000">
        <w:rPr>
          <w:rtl w:val="0"/>
        </w:rPr>
      </w:r>
    </w:p>
    <w:p w:rsidR="00000000" w:rsidDel="00000000" w:rsidP="00000000" w:rsidRDefault="00000000" w:rsidRPr="00000000" w14:paraId="00000012">
      <w:pPr>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Including what harassment is and what harassment is not</w:t>
      </w: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Workplace responsibilities</w:t>
      </w: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Risk factors that could contribute to workplace harassment and violence</w:t>
      </w: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Describe the complaint and investigation process</w:t>
      </w: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Include the emergency procedures that must be implemented when:</w:t>
      </w:r>
      <w:r w:rsidDel="00000000" w:rsidR="00000000" w:rsidRPr="00000000">
        <w:rPr>
          <w:rtl w:val="0"/>
        </w:rPr>
      </w:r>
    </w:p>
    <w:p w:rsidR="00000000" w:rsidDel="00000000" w:rsidP="00000000" w:rsidRDefault="00000000" w:rsidRPr="00000000" w14:paraId="00000017">
      <w:pPr>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 incident poses an immediate danger to the health and safety of an employee</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Show [Organization Name]’s commitment to confidentiality</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point of contact for employees for complaints regarding this policy or the CLC</w:t>
      </w: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Measures for employee training  </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Consultation with </w:t>
      </w:r>
      <w:r w:rsidDel="00000000" w:rsidR="00000000" w:rsidRPr="00000000">
        <w:rPr>
          <w:rFonts w:ascii="Calibri" w:cs="Calibri" w:eastAsia="Calibri" w:hAnsi="Calibri"/>
          <w:color w:val="000000"/>
          <w:u w:val="single"/>
          <w:rtl w:val="0"/>
        </w:rPr>
        <w:t xml:space="preserve">the Health and Safety </w:t>
      </w:r>
      <w:r w:rsidDel="00000000" w:rsidR="00000000" w:rsidRPr="00000000">
        <w:rPr>
          <w:rFonts w:ascii="Calibri" w:cs="Calibri" w:eastAsia="Calibri" w:hAnsi="Calibri"/>
          <w:u w:val="single"/>
          <w:rtl w:val="0"/>
        </w:rPr>
        <w:t xml:space="preserve">Representative</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highlight w:val="white"/>
          <w:u w:val="single"/>
        </w:rPr>
      </w:pPr>
      <w:r w:rsidDel="00000000" w:rsidR="00000000" w:rsidRPr="00000000">
        <w:rPr>
          <w:rFonts w:ascii="Calibri" w:cs="Calibri" w:eastAsia="Calibri" w:hAnsi="Calibri"/>
          <w:rtl w:val="0"/>
        </w:rPr>
        <w:t xml:space="preserve">As [Organization Name] has fewer than 20 employees, this policy shall be reviewed with the health and safety representative. The representative may make suggestions and changes for elements in the policy.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will work with the representative to ensure that the policy conforms to the requirements in the CLC, as well as adding suggestions from the employee.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Here are some of the ways that violence or harassment could manifest in the workplace (note that this list does not include every example; please speak with your supervisor/manager or HR representative if you have any doubt about the appropriateness of an action):</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Any sort of physical assault</w:t>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8">
      <w:pPr>
        <w:numPr>
          <w:ilvl w:val="1"/>
          <w:numId w:val="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This list is sourced from the </w:t>
      </w:r>
      <w:hyperlink r:id="rId7">
        <w:r w:rsidDel="00000000" w:rsidR="00000000" w:rsidRPr="00000000">
          <w:rPr>
            <w:rFonts w:ascii="Calibri" w:cs="Calibri" w:eastAsia="Calibri" w:hAnsi="Calibri"/>
            <w:color w:val="000000"/>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The Exercise of Supervisorial/Managerial Duties</w:t>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3F">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Taking measures to correct performance, including using performance improvement plans</w:t>
      </w:r>
    </w:p>
    <w:p w:rsidR="00000000" w:rsidDel="00000000" w:rsidP="00000000" w:rsidRDefault="00000000" w:rsidRPr="00000000" w14:paraId="00000040">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 necessary, taking disciplinary action</w:t>
      </w:r>
    </w:p>
    <w:p w:rsidR="00000000" w:rsidDel="00000000" w:rsidP="00000000" w:rsidRDefault="00000000" w:rsidRPr="00000000" w14:paraId="00000041">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Assigning work to employees and directing to them how and when it should be done</w:t>
      </w:r>
    </w:p>
    <w:p w:rsidR="00000000" w:rsidDel="00000000" w:rsidP="00000000" w:rsidRDefault="00000000" w:rsidRPr="00000000" w14:paraId="00000042">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Requesting updates or reports on the progress of the work</w:t>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Managing time off requests, including either approving or denying requests</w:t>
      </w:r>
    </w:p>
    <w:p w:rsidR="00000000" w:rsidDel="00000000" w:rsidP="00000000" w:rsidRDefault="00000000" w:rsidRPr="00000000" w14:paraId="00000044">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necessary, asking for medical documentation to support work absence(s)</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Conducting a Risk Assessment in the Workplace</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[Organization Name] will ensure that a risk assessment for violence and harassment is conducted every three years. At [Organization Name], the risk assessment will be conducted along with the health and safety </w:t>
      </w:r>
      <w:r w:rsidDel="00000000" w:rsidR="00000000" w:rsidRPr="00000000">
        <w:rPr>
          <w:rFonts w:ascii="Calibri" w:cs="Calibri" w:eastAsia="Calibri" w:hAnsi="Calibri"/>
          <w:highlight w:val="white"/>
          <w:rtl w:val="0"/>
        </w:rPr>
        <w:t xml:space="preserve">representative</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When conducting the risk assessment [Organization Name] will take into consideration specific factors that may contribute to the risk of harassment or violence including:</w:t>
      </w: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4D">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exchange of money</w:t>
      </w:r>
      <w:r w:rsidDel="00000000" w:rsidR="00000000" w:rsidRPr="00000000">
        <w:rPr>
          <w:rtl w:val="0"/>
        </w:rPr>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alone or in small numbers</w:t>
      </w:r>
      <w:r w:rsidDel="00000000" w:rsidR="00000000" w:rsidRPr="00000000">
        <w:rPr>
          <w:rtl w:val="0"/>
        </w:rPr>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at night</w:t>
      </w:r>
      <w:r w:rsidDel="00000000" w:rsidR="00000000" w:rsidRPr="00000000">
        <w:rPr>
          <w:rtl w:val="0"/>
        </w:rPr>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in a high crime area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 part of its assessment the organization may review records and reports (incident reports, health and safety inspection reports, etc.). </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Employee and Supervisor/Managers Responsibilities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i w:val="1"/>
          <w:color w:val="000000"/>
          <w:highlight w:val="white"/>
          <w:rtl w:val="0"/>
        </w:rPr>
        <w:t xml:space="preserve">Employees</w:t>
      </w:r>
      <w:r w:rsidDel="00000000" w:rsidR="00000000" w:rsidRPr="00000000">
        <w:rPr>
          <w:rFonts w:ascii="Calibri" w:cs="Calibri" w:eastAsia="Calibri" w:hAnsi="Calibri"/>
          <w:i w:val="1"/>
          <w:color w:val="000000"/>
          <w:rtl w:val="0"/>
        </w:rPr>
        <w:t xml:space="preserve"> must:</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Understand what constitutes workplace violence as defined in this policy and adhere to the organization’s zero tolerance requirement. </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Immediately report any incident of harassment or violence one is subject to or witnesses in accordance with the organization’s anti-violence program. </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Refrain from any retaliatory acts against any individual who has brought forward a complaint of harassment or violence.</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Attend and actively participate in training and education sessions regarding workplace violence or harassment.</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All [Organization Name] employees have the responsibility to adhere to the contents of this policy and refrain from enacting or condoning any form(s) of harassment or violence. Further, all employees have the responsibility of fully cooperating in any investigations into complaints of harassment or violence.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i w:val="1"/>
          <w:color w:val="000000"/>
          <w:highlight w:val="white"/>
          <w:rtl w:val="0"/>
        </w:rPr>
        <w:t xml:space="preserve">Supervisors/Managers must:</w:t>
      </w: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Assess the risk of workplace harassment and violence and implement procedures, response plans, and other controls to help minimize identified risks. </w:t>
      </w: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Educate and train employees on this policy and program, response plans, and other controls established to protect employee health and safety. </w:t>
      </w:r>
      <w:r w:rsidDel="00000000" w:rsidR="00000000" w:rsidRPr="00000000">
        <w:rPr>
          <w:rtl w:val="0"/>
        </w:rPr>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Ensure a copy of this policy is available to all employees. </w:t>
      </w: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Take appropriate action(s) upon receipt of a complaint of workplace harassment or violence or when aware that workplace harassment or violence is occurring. </w:t>
      </w:r>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Emergency Procedures</w:t>
      </w: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6E">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6F">
      <w:pPr>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Yell for help.</w:t>
      </w:r>
      <w:r w:rsidDel="00000000" w:rsidR="00000000" w:rsidRPr="00000000">
        <w:rPr>
          <w:rtl w:val="0"/>
        </w:rPr>
      </w:r>
    </w:p>
    <w:p w:rsidR="00000000" w:rsidDel="00000000" w:rsidP="00000000" w:rsidRDefault="00000000" w:rsidRPr="00000000" w14:paraId="00000070">
      <w:pPr>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71">
      <w:pPr>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72">
      <w:pPr>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73">
      <w:pPr>
        <w:numPr>
          <w:ilvl w:val="1"/>
          <w:numId w:val="15"/>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Contact a manager/supervisor.</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rtl w:val="0"/>
        </w:rPr>
        <w:t xml:space="preserve">Canada’s </w:t>
      </w:r>
      <w:r w:rsidDel="00000000" w:rsidR="00000000" w:rsidRPr="00000000">
        <w:rPr>
          <w:rFonts w:ascii="Calibri" w:cs="Calibri" w:eastAsia="Calibri" w:hAnsi="Calibri"/>
          <w:i w:val="1"/>
          <w:color w:val="000000"/>
          <w:highlight w:val="white"/>
          <w:rtl w:val="0"/>
        </w:rPr>
        <w:t xml:space="preserve">Criminal Code</w:t>
      </w:r>
      <w:r w:rsidDel="00000000" w:rsidR="00000000" w:rsidRPr="00000000">
        <w:rPr>
          <w:rFonts w:ascii="Calibri" w:cs="Calibri" w:eastAsia="Calibri" w:hAnsi="Calibri"/>
          <w:color w:val="000000"/>
          <w:highlight w:val="white"/>
          <w:rtl w:val="0"/>
        </w:rPr>
        <w:t xml:space="preserv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Making a Complaint</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highlight w:val="white"/>
          <w:rtl w:val="0"/>
        </w:rPr>
        <w:t xml:space="preserve">) is designated to receive complaints related to this policy or any allegations of non-compliance with the CLC. </w:t>
      </w:r>
      <w:r w:rsidDel="00000000" w:rsidR="00000000" w:rsidRPr="00000000">
        <w:rPr>
          <w:rtl w:val="0"/>
        </w:rPr>
      </w:r>
    </w:p>
    <w:p w:rsidR="00000000" w:rsidDel="00000000" w:rsidP="00000000" w:rsidRDefault="00000000" w:rsidRPr="00000000" w14:paraId="0000007A">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 the event the person named above was a party to the contravention, an alternative is (</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highlight w:val="white"/>
          <w:rtl w:val="0"/>
        </w:rPr>
        <w:t xml:space="preserve">) or (</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highlight w:val="white"/>
          <w:rtl w:val="0"/>
        </w:rPr>
        <w:t xml:space="preserve">) if one of them is not available.</w:t>
      </w:r>
      <w:r w:rsidDel="00000000" w:rsidR="00000000" w:rsidRPr="00000000">
        <w:rPr>
          <w:rtl w:val="0"/>
        </w:rPr>
      </w:r>
    </w:p>
    <w:p w:rsidR="00000000" w:rsidDel="00000000" w:rsidP="00000000" w:rsidRDefault="00000000" w:rsidRPr="00000000" w14:paraId="0000007F">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 alternate report may be made to (</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81">
      <w:pPr>
        <w:numPr>
          <w:ilvl w:val="0"/>
          <w:numId w:val="12"/>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82">
      <w:pPr>
        <w:numPr>
          <w:ilvl w:val="0"/>
          <w:numId w:val="12"/>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83">
      <w:pPr>
        <w:numPr>
          <w:ilvl w:val="0"/>
          <w:numId w:val="12"/>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84">
      <w:pPr>
        <w:numPr>
          <w:ilvl w:val="0"/>
          <w:numId w:val="12"/>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85">
      <w:pPr>
        <w:numPr>
          <w:ilvl w:val="0"/>
          <w:numId w:val="12"/>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Complaint Investigation Process</w:t>
      </w: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investigation process will be initiated upon receipt of a formal complaint from an employee or at the discretion of the employer where workplace violence is known or is suspected to be occurring.</w:t>
      </w: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organization will endeavour to complete investigations as soon as possible once the process has been initiated; unless extenuating circumstances warrant a longer investigation (for example where more than five witnesses must be interviewed or in the event a witness, Complainant or Respondent is unavailable due to illness).</w:t>
      </w: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Once initiated, the investigation procedure will generally adhere to the following steps/guidelines:</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organization will appoint an internal or external investigator(s) to promptly conduct and document an investigation into the incident in which all facts are examined in a manner that is timely, fair and impartial. </w:t>
      </w:r>
      <w:r w:rsidDel="00000000" w:rsidR="00000000" w:rsidRPr="00000000">
        <w:rPr>
          <w:rtl w:val="0"/>
        </w:rPr>
      </w:r>
    </w:p>
    <w:p w:rsidR="00000000" w:rsidDel="00000000" w:rsidP="00000000" w:rsidRDefault="00000000" w:rsidRPr="00000000" w14:paraId="00000092">
      <w:pPr>
        <w:numPr>
          <w:ilvl w:val="0"/>
          <w:numId w:val="18"/>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 person shall be appointed to the role of investigator where they have been named within a complaint.</w:t>
      </w:r>
      <w:r w:rsidDel="00000000" w:rsidR="00000000" w:rsidRPr="00000000">
        <w:rPr>
          <w:rtl w:val="0"/>
        </w:rPr>
      </w:r>
    </w:p>
    <w:p w:rsidR="00000000" w:rsidDel="00000000" w:rsidP="00000000" w:rsidRDefault="00000000" w:rsidRPr="00000000" w14:paraId="00000093">
      <w:pPr>
        <w:numPr>
          <w:ilvl w:val="0"/>
          <w:numId w:val="18"/>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Any allegations against the (</w:t>
      </w:r>
      <w:r w:rsidDel="00000000" w:rsidR="00000000" w:rsidRPr="00000000">
        <w:rPr>
          <w:rFonts w:ascii="Calibri" w:cs="Calibri" w:eastAsia="Calibri" w:hAnsi="Calibri"/>
          <w:color w:val="000000"/>
          <w:highlight w:val="yellow"/>
          <w:rtl w:val="0"/>
        </w:rPr>
        <w:t xml:space="preserve">Insert title</w:t>
      </w:r>
      <w:r w:rsidDel="00000000" w:rsidR="00000000" w:rsidRPr="00000000">
        <w:rPr>
          <w:rFonts w:ascii="Calibri" w:cs="Calibri" w:eastAsia="Calibri" w:hAnsi="Calibri"/>
          <w:color w:val="000000"/>
          <w:highlight w:val="white"/>
          <w:rtl w:val="0"/>
        </w:rPr>
        <w:t xml:space="preserve">) will be investigated by a neutral third-party investigator.</w:t>
      </w:r>
      <w:r w:rsidDel="00000000" w:rsidR="00000000" w:rsidRPr="00000000">
        <w:rPr>
          <w:rtl w:val="0"/>
        </w:rPr>
      </w:r>
    </w:p>
    <w:p w:rsidR="00000000" w:rsidDel="00000000" w:rsidP="00000000" w:rsidRDefault="00000000" w:rsidRPr="00000000" w14:paraId="00000094">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95">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Individual(s) named in the complaint (known as Respondents) will be advised via written notification of the complaint that has been filed against them. The notification will inform the Respondent of the alleged offensive action(s)/behaviour(s) made against them.</w:t>
      </w:r>
    </w:p>
    <w:p w:rsidR="00000000" w:rsidDel="00000000" w:rsidP="00000000" w:rsidRDefault="00000000" w:rsidRPr="00000000" w14:paraId="00000096">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investigator will then meet with the Respondent to allow the individual to respond to the presented allegations and to gather facts and information.</w:t>
      </w:r>
    </w:p>
    <w:p w:rsidR="00000000" w:rsidDel="00000000" w:rsidP="00000000" w:rsidRDefault="00000000" w:rsidRPr="00000000" w14:paraId="00000097">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98">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Employees on paid administrative leave pending the results of the investigation must remain available to meet with the investigator and to return to work as requested.</w:t>
      </w:r>
    </w:p>
    <w:p w:rsidR="00000000" w:rsidDel="00000000" w:rsidP="00000000" w:rsidRDefault="00000000" w:rsidRPr="00000000" w14:paraId="00000099">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investigator may also individually meet with witnesses and any other individual deemed necessary to provide additional evidence or context/information pertinent to the investigation.</w:t>
      </w:r>
    </w:p>
    <w:p w:rsidR="00000000" w:rsidDel="00000000" w:rsidP="00000000" w:rsidRDefault="00000000" w:rsidRPr="00000000" w14:paraId="0000009A">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Once the investigator is satisfied with the amount of factual information collected from all parties, </w:t>
      </w:r>
      <w:r w:rsidDel="00000000" w:rsidR="00000000" w:rsidRPr="00000000">
        <w:rPr>
          <w:rFonts w:ascii="Calibri" w:cs="Calibri" w:eastAsia="Calibri" w:hAnsi="Calibri"/>
          <w:highlight w:val="white"/>
          <w:rtl w:val="0"/>
        </w:rPr>
        <w:t xml:space="preserve">they</w:t>
      </w:r>
      <w:r w:rsidDel="00000000" w:rsidR="00000000" w:rsidRPr="00000000">
        <w:rPr>
          <w:rFonts w:ascii="Calibri" w:cs="Calibri" w:eastAsia="Calibri" w:hAnsi="Calibri"/>
          <w:color w:val="000000"/>
          <w:highlight w:val="white"/>
          <w:rtl w:val="0"/>
        </w:rPr>
        <w:t xml:space="preserve"> will make a determination as to whether the allegation(s) are substantiated based on a balance of probabilities and where substantiated, make recommendations on any remedial action to be taken.</w:t>
      </w:r>
    </w:p>
    <w:p w:rsidR="00000000" w:rsidDel="00000000" w:rsidP="00000000" w:rsidRDefault="00000000" w:rsidRPr="00000000" w14:paraId="0000009B">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findings of fact, the conclusion of the investigation and any recommendations made.</w:t>
      </w:r>
    </w:p>
    <w:p w:rsidR="00000000" w:rsidDel="00000000" w:rsidP="00000000" w:rsidRDefault="00000000" w:rsidRPr="00000000" w14:paraId="0000009C">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the investigator deems a breach of the policy has occurred, the organization will take necessary corrective action where deemed appropriate to do so.</w:t>
      </w:r>
    </w:p>
    <w:p w:rsidR="00000000" w:rsidDel="00000000" w:rsidP="00000000" w:rsidRDefault="00000000" w:rsidRPr="00000000" w14:paraId="0000009D">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corrective action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9E">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If the Complainant disagrees with the outcome of the investigation, they will have the option to pursue recourse through the CLC.</w:t>
      </w:r>
    </w:p>
    <w:p w:rsidR="00000000" w:rsidDel="00000000" w:rsidP="00000000" w:rsidRDefault="00000000" w:rsidRPr="00000000" w14:paraId="0000009F">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will provide the Complainant and Respondent (where the Respondent is an employee) with a written outcome letter summarizing the investigation findings and any disciplinary action to be taken because of the investigation.</w:t>
      </w:r>
    </w:p>
    <w:p w:rsidR="00000000" w:rsidDel="00000000" w:rsidP="00000000" w:rsidRDefault="00000000" w:rsidRPr="00000000" w14:paraId="000000A0">
      <w:pPr>
        <w:numPr>
          <w:ilvl w:val="0"/>
          <w:numId w:val="13"/>
        </w:numPr>
        <w:pBdr>
          <w:top w:space="0" w:sz="0" w:val="nil"/>
          <w:left w:space="0" w:sz="0" w:val="nil"/>
          <w:bottom w:space="0" w:sz="0" w:val="nil"/>
          <w:right w:space="0" w:sz="0" w:val="nil"/>
          <w:between w:space="0" w:sz="0" w:val="nil"/>
        </w:pBdr>
        <w:ind w:left="72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Resolution of Complaints</w:t>
      </w:r>
    </w:p>
    <w:p w:rsidR="00000000" w:rsidDel="00000000" w:rsidP="00000000" w:rsidRDefault="00000000" w:rsidRPr="00000000" w14:paraId="000000A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A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occurrences/complaints under this policy will be resolved within one year after the day on which notice of the occurrence was provided.</w:t>
      </w:r>
    </w:p>
    <w:p w:rsidR="00000000" w:rsidDel="00000000" w:rsidP="00000000" w:rsidRDefault="00000000" w:rsidRPr="00000000" w14:paraId="000000A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If the principal party or responding party is temporarily absent from work for more than 90 consecutive days after the day on which notice of the occurrence is provided, the resolution process will be completed within the later of:</w:t>
      </w:r>
    </w:p>
    <w:p w:rsidR="00000000" w:rsidDel="00000000" w:rsidP="00000000" w:rsidRDefault="00000000" w:rsidRPr="00000000" w14:paraId="000000A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8">
      <w:pPr>
        <w:numPr>
          <w:ilvl w:val="0"/>
          <w:numId w:val="1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one year after the day on which notice of the occurrence is provided, and</w:t>
      </w:r>
    </w:p>
    <w:p w:rsidR="00000000" w:rsidDel="00000000" w:rsidP="00000000" w:rsidRDefault="00000000" w:rsidRPr="00000000" w14:paraId="000000A9">
      <w:pPr>
        <w:numPr>
          <w:ilvl w:val="0"/>
          <w:numId w:val="1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six months after the day on which the party returns to work.</w:t>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will ensure that it protects the privacy of any persons involved in:</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F">
      <w:pPr>
        <w:numPr>
          <w:ilvl w:val="0"/>
          <w:numId w:val="1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 occurrence; and/or</w:t>
      </w:r>
      <w:r w:rsidDel="00000000" w:rsidR="00000000" w:rsidRPr="00000000">
        <w:rPr>
          <w:rtl w:val="0"/>
        </w:rPr>
      </w:r>
    </w:p>
    <w:p w:rsidR="00000000" w:rsidDel="00000000" w:rsidP="00000000" w:rsidRDefault="00000000" w:rsidRPr="00000000" w14:paraId="000000B0">
      <w:pPr>
        <w:numPr>
          <w:ilvl w:val="0"/>
          <w:numId w:val="1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resolution process for an occurrence.</w:t>
      </w: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[Organization Name] will ensure that information and documents regarding a complaint or incident will not be disclosed except to the extent necessary to protect workers, to investigate the complaint or incident, to take corrective action or as otherwise required by law.</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u w:val="single"/>
        </w:rPr>
      </w:pPr>
      <w:r w:rsidDel="00000000" w:rsidR="00000000" w:rsidRPr="00000000">
        <w:rPr>
          <w:rFonts w:ascii="Calibri" w:cs="Calibri" w:eastAsia="Calibri" w:hAnsi="Calibri"/>
          <w:u w:val="single"/>
          <w:rtl w:val="0"/>
        </w:rPr>
        <w:t xml:space="preserve">Availability of Support Measures</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[Organization Name] will provide employees with information regarding the medical, psychological, or other support services that are available to them and are located close to their place of work and/or home. </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Breaches of Policy</w:t>
      </w: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highlight w:val="white"/>
          <w:rtl w:val="0"/>
        </w:rPr>
        <w:t xml:space="preserve">This policy will be reviewed by the employer and an applicable partner, jointly, and, if necessary, updated at least once every three years and following any change to an element of the policy. This policy and program will be reviewed after any harassment or violence occurrences to determine if changes are necessary.</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Employees will receive instruction and training on the contents of this policy and the procedures contained within for complaints and investigations. </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Annual Report to the Head of Compliance and Enforcement</w:t>
      </w:r>
    </w:p>
    <w:p w:rsidR="00000000" w:rsidDel="00000000" w:rsidP="00000000" w:rsidRDefault="00000000" w:rsidRPr="00000000" w14:paraId="000000C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complete an annual report to the Head of Compliance and Enforcement by March 1 of each year that includes the following (for each calendar year):</w:t>
      </w:r>
    </w:p>
    <w:p w:rsidR="00000000" w:rsidDel="00000000" w:rsidP="00000000" w:rsidRDefault="00000000" w:rsidRPr="00000000" w14:paraId="000000C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E">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organization’s business name</w:t>
      </w:r>
    </w:p>
    <w:p w:rsidR="00000000" w:rsidDel="00000000" w:rsidP="00000000" w:rsidRDefault="00000000" w:rsidRPr="00000000" w14:paraId="000000CF">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organization’s business number</w:t>
      </w:r>
    </w:p>
    <w:p w:rsidR="00000000" w:rsidDel="00000000" w:rsidP="00000000" w:rsidRDefault="00000000" w:rsidRPr="00000000" w14:paraId="000000D0">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contact name (the person who completed the report)</w:t>
      </w:r>
    </w:p>
    <w:p w:rsidR="00000000" w:rsidDel="00000000" w:rsidP="00000000" w:rsidRDefault="00000000" w:rsidRPr="00000000" w14:paraId="000000D1">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number of occurrences</w:t>
      </w:r>
    </w:p>
    <w:p w:rsidR="00000000" w:rsidDel="00000000" w:rsidP="00000000" w:rsidRDefault="00000000" w:rsidRPr="00000000" w14:paraId="000000D2">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occurrences that were related, respectively, to sexual harassment and violence and non-sexual harassment and violence</w:t>
      </w:r>
    </w:p>
    <w:p w:rsidR="00000000" w:rsidDel="00000000" w:rsidP="00000000" w:rsidRDefault="00000000" w:rsidRPr="00000000" w14:paraId="000000D3">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occurrences that resulted in the death of an employee</w:t>
      </w:r>
    </w:p>
    <w:p w:rsidR="00000000" w:rsidDel="00000000" w:rsidP="00000000" w:rsidRDefault="00000000" w:rsidRPr="00000000" w14:paraId="000000D4">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known, the number of occurrences that fell under each prohibited ground of discrimination set out in the Canadian Human Rights Act</w:t>
      </w:r>
    </w:p>
    <w:p w:rsidR="00000000" w:rsidDel="00000000" w:rsidP="00000000" w:rsidRDefault="00000000" w:rsidRPr="00000000" w14:paraId="000000D5">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locations where the occurrences took place, specifying the total number of occurrences that took place in each location</w:t>
      </w:r>
    </w:p>
    <w:p w:rsidR="00000000" w:rsidDel="00000000" w:rsidP="00000000" w:rsidRDefault="00000000" w:rsidRPr="00000000" w14:paraId="000000D6">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types of professional relationships that existed between the principal and responding parties, specifying the total number for each type, </w:t>
      </w:r>
    </w:p>
    <w:p w:rsidR="00000000" w:rsidDel="00000000" w:rsidP="00000000" w:rsidRDefault="00000000" w:rsidRPr="00000000" w14:paraId="000000D7">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means by which resolution processes were completed and, for each of those means, the number of occurrences involved</w:t>
      </w:r>
    </w:p>
    <w:p w:rsidR="00000000" w:rsidDel="00000000" w:rsidP="00000000" w:rsidRDefault="00000000" w:rsidRPr="00000000" w14:paraId="000000D8">
      <w:pPr>
        <w:numPr>
          <w:ilvl w:val="0"/>
          <w:numId w:val="1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average time, expressed in months, that it took to complete the resolution process for an occurrence</w:t>
      </w:r>
    </w:p>
    <w:p w:rsidR="00000000" w:rsidDel="00000000" w:rsidP="00000000" w:rsidRDefault="00000000" w:rsidRPr="00000000" w14:paraId="000000D9">
      <w:pPr>
        <w:rPr>
          <w:rFonts w:ascii="Open Sans" w:cs="Open Sans" w:eastAsia="Open Sans" w:hAnsi="Open Sans"/>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left"/>
      <w:pPr>
        <w:ind w:left="2160" w:hanging="360"/>
      </w:pPr>
      <w:rPr/>
    </w:lvl>
    <w:lvl w:ilvl="3">
      <w:start w:val="1"/>
      <w:numFmt w:val="decimal"/>
      <w:lvlText w:val="(%4)"/>
      <w:lvlJc w:val="left"/>
      <w:pPr>
        <w:ind w:left="2520" w:hanging="360"/>
      </w:pPr>
      <w:rPr/>
    </w:lvl>
    <w:lvl w:ilvl="4">
      <w:start w:val="1"/>
      <w:numFmt w:val="lowerLetter"/>
      <w:lvlText w:val="(%5)"/>
      <w:lvlJc w:val="left"/>
      <w:pPr>
        <w:ind w:left="2880" w:hanging="360"/>
      </w:pPr>
      <w:rPr/>
    </w:lvl>
    <w:lvl w:ilvl="5">
      <w:start w:val="1"/>
      <w:numFmt w:val="lowerRoman"/>
      <w:lvlText w:val="(%6)"/>
      <w:lvlJc w:val="left"/>
      <w:pPr>
        <w:ind w:left="3240" w:hanging="360"/>
      </w:pPr>
      <w:rPr/>
    </w:lvl>
    <w:lvl w:ilvl="6">
      <w:start w:val="1"/>
      <w:numFmt w:val="decimal"/>
      <w:lvlText w:val="%7."/>
      <w:lvlJc w:val="left"/>
      <w:pPr>
        <w:ind w:left="3600" w:hanging="360"/>
      </w:pPr>
      <w:rPr/>
    </w:lvl>
    <w:lvl w:ilvl="7">
      <w:start w:val="1"/>
      <w:numFmt w:val="lowerLetter"/>
      <w:lvlText w:val="%8."/>
      <w:lvlJc w:val="left"/>
      <w:pPr>
        <w:ind w:left="3960" w:hanging="360"/>
      </w:pPr>
      <w:rPr/>
    </w:lvl>
    <w:lvl w:ilvl="8">
      <w:start w:val="1"/>
      <w:numFmt w:val="lowerRoman"/>
      <w:lvlText w:val="%9."/>
      <w:lvlJc w:val="left"/>
      <w:pPr>
        <w:ind w:left="43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employment-social-development/programs/workplace-health-safety/harassment-violence-prevention.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vlSRvtyLMV6l41WIM5Aj8rFvA==">AMUW2mULBeLuCPv4QuQLugInLjGJyeeq4ZJv8Bib5feFj7rhG2ExIY14chf94UP6slQkWf3Ej9cVdKbISKBDja0RtE4Vc1qb8+NTzNUZHg+WrzYSDLKKLR8=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2022-06-08T17:55:00Z</dcterms:created>
  <dc:creator>Kelly</dc:creator>
</cp:coreProperties>
</file>